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ООО "Кадастровый центр"</w:t>
      </w:r>
    </w:p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suppressAutoHyphens/>
        <w:autoSpaceDN w:val="0"/>
        <w:ind w:right="30" w:firstLine="426"/>
        <w:jc w:val="center"/>
        <w:textAlignment w:val="baseline"/>
        <w:rPr>
          <w:rFonts w:ascii="Liberation Serif" w:eastAsia="Times New Roman" w:hAnsi="Liberation Serif" w:cs="Times New Roman"/>
          <w:kern w:val="3"/>
          <w:szCs w:val="28"/>
          <w:lang w:eastAsia="ru-RU"/>
        </w:rPr>
      </w:pPr>
    </w:p>
    <w:p w:rsidR="00A60E1E" w:rsidRPr="00A60E1E" w:rsidRDefault="00E13C17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B12C00" wp14:editId="05F2050C">
            <wp:extent cx="1180214" cy="1456990"/>
            <wp:effectExtent l="0" t="0" r="127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3" cy="14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13C17" w:rsidRPr="000C1822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szCs w:val="28"/>
        </w:rPr>
      </w:pPr>
      <w:bookmarkStart w:id="0" w:name="_Toc451181996"/>
      <w:bookmarkStart w:id="1" w:name="_Toc451469281"/>
      <w:bookmarkStart w:id="2" w:name="_Toc452336955"/>
      <w:bookmarkStart w:id="3" w:name="_Toc465106062"/>
      <w:bookmarkStart w:id="4" w:name="_Toc467011203"/>
      <w:bookmarkStart w:id="5" w:name="_Toc469954428"/>
      <w:bookmarkStart w:id="6" w:name="_Toc487707101"/>
      <w:bookmarkStart w:id="7" w:name="_Toc499148746"/>
      <w:bookmarkStart w:id="8" w:name="_Toc500883636"/>
      <w:bookmarkStart w:id="9" w:name="_Toc500883713"/>
      <w:bookmarkStart w:id="10" w:name="_Toc504699262"/>
      <w:bookmarkStart w:id="11" w:name="_Toc505692615"/>
      <w:bookmarkStart w:id="12" w:name="_Toc508302555"/>
      <w:bookmarkStart w:id="13" w:name="_Toc508754417"/>
      <w:bookmarkStart w:id="14" w:name="_Toc509104167"/>
      <w:bookmarkStart w:id="15" w:name="_Toc510175189"/>
      <w:bookmarkStart w:id="16" w:name="_Toc510300001"/>
      <w:bookmarkStart w:id="17" w:name="_Toc517703433"/>
      <w:bookmarkStart w:id="18" w:name="_Toc517719175"/>
      <w:bookmarkStart w:id="19" w:name="_Toc517907671"/>
      <w:bookmarkStart w:id="20" w:name="_Toc522192914"/>
      <w:bookmarkStart w:id="21" w:name="_Toc522628530"/>
      <w:bookmarkStart w:id="22" w:name="_Toc524892682"/>
      <w:bookmarkStart w:id="23" w:name="_Toc531808744"/>
      <w:bookmarkStart w:id="24" w:name="_Toc531991093"/>
      <w:bookmarkStart w:id="25" w:name="_Toc532148572"/>
      <w:bookmarkStart w:id="26" w:name="_Toc1641051"/>
      <w:bookmarkStart w:id="27" w:name="_Toc18076317"/>
      <w:bookmarkStart w:id="28" w:name="_Toc23197756"/>
      <w:bookmarkStart w:id="29" w:name="_Toc28428423"/>
      <w:bookmarkStart w:id="30" w:name="_Toc45632289"/>
      <w:bookmarkStart w:id="31" w:name="_Toc46407086"/>
      <w:bookmarkStart w:id="32" w:name="Bookmark"/>
      <w:r w:rsidRPr="000C1822">
        <w:rPr>
          <w:rFonts w:ascii="Liberation Serif" w:hAnsi="Liberation Serif"/>
          <w:b/>
          <w:szCs w:val="28"/>
        </w:rPr>
        <w:t>Российская Федерация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13C17" w:rsidRPr="000B1591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szCs w:val="28"/>
        </w:rPr>
      </w:pPr>
      <w:bookmarkStart w:id="33" w:name="_Hlk61817581"/>
      <w:r w:rsidRPr="000B1591">
        <w:rPr>
          <w:rFonts w:ascii="Liberation Serif" w:hAnsi="Liberation Serif"/>
          <w:b/>
          <w:szCs w:val="28"/>
        </w:rPr>
        <w:t>Республика Хакасия</w:t>
      </w:r>
    </w:p>
    <w:p w:rsidR="00E13C17" w:rsidRPr="000B1591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Алтайский</w:t>
      </w:r>
      <w:r w:rsidRPr="000B1591">
        <w:rPr>
          <w:rFonts w:ascii="Liberation Serif" w:hAnsi="Liberation Serif"/>
          <w:b/>
          <w:szCs w:val="28"/>
        </w:rPr>
        <w:t xml:space="preserve"> Район</w:t>
      </w:r>
    </w:p>
    <w:bookmarkEnd w:id="33"/>
    <w:p w:rsidR="00A60E1E" w:rsidRPr="00A60E1E" w:rsidRDefault="00A60E1E" w:rsidP="00A60E1E">
      <w:pPr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:rsidR="00840216" w:rsidRPr="000C1822" w:rsidRDefault="00840216" w:rsidP="00840216">
      <w:pPr>
        <w:widowControl w:val="0"/>
        <w:tabs>
          <w:tab w:val="left" w:pos="-142"/>
          <w:tab w:val="left" w:pos="8222"/>
        </w:tabs>
        <w:ind w:right="28" w:firstLine="425"/>
        <w:jc w:val="center"/>
        <w:rPr>
          <w:rFonts w:ascii="Liberation Serif" w:hAnsi="Liberation Serif"/>
          <w:b/>
          <w:szCs w:val="28"/>
        </w:rPr>
      </w:pPr>
      <w:r w:rsidRPr="000C1822">
        <w:rPr>
          <w:rFonts w:ascii="Liberation Serif" w:hAnsi="Liberation Serif"/>
          <w:b/>
          <w:szCs w:val="28"/>
        </w:rPr>
        <w:t>ГЕНЕРАЛЬНЫЙ ПЛАН</w:t>
      </w:r>
    </w:p>
    <w:p w:rsidR="00E13C17" w:rsidRPr="000C1822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Новомихайловского</w:t>
      </w:r>
      <w:r w:rsidRPr="000B1591">
        <w:rPr>
          <w:rFonts w:ascii="Liberation Serif" w:hAnsi="Liberation Serif"/>
          <w:b/>
          <w:i/>
          <w:szCs w:val="28"/>
        </w:rPr>
        <w:t xml:space="preserve"> Сельсовета</w:t>
      </w:r>
    </w:p>
    <w:p w:rsidR="00E13C17" w:rsidRPr="000C1822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szCs w:val="28"/>
        </w:rPr>
      </w:pPr>
    </w:p>
    <w:p w:rsidR="00E13C17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i/>
          <w:szCs w:val="28"/>
        </w:rPr>
      </w:pPr>
      <w:r w:rsidRPr="00F245DD">
        <w:rPr>
          <w:rFonts w:ascii="Liberation Serif" w:hAnsi="Liberation Serif"/>
          <w:b/>
          <w:i/>
          <w:szCs w:val="28"/>
        </w:rPr>
        <w:t>Д</w:t>
      </w:r>
      <w:r>
        <w:rPr>
          <w:rFonts w:ascii="Liberation Serif" w:hAnsi="Liberation Serif"/>
          <w:b/>
          <w:i/>
          <w:szCs w:val="28"/>
        </w:rPr>
        <w:t>оговор</w:t>
      </w:r>
      <w:r w:rsidRPr="00F245DD">
        <w:rPr>
          <w:rFonts w:ascii="Liberation Serif" w:hAnsi="Liberation Serif"/>
          <w:b/>
          <w:i/>
          <w:szCs w:val="28"/>
        </w:rPr>
        <w:t xml:space="preserve"> №07/2022 от 08.04.2022</w:t>
      </w:r>
    </w:p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b/>
          <w:szCs w:val="28"/>
          <w:lang w:eastAsia="ru-RU"/>
        </w:rPr>
        <w:t>Положение о территориальном планировании</w:t>
      </w:r>
      <w:r w:rsidRPr="00A60E1E">
        <w:rPr>
          <w:rFonts w:ascii="Liberation Serif" w:eastAsia="Times New Roman" w:hAnsi="Liberation Serif" w:cs="Times New Roman"/>
          <w:b/>
          <w:szCs w:val="28"/>
          <w:lang w:eastAsia="ru-RU"/>
        </w:rPr>
        <w:br/>
      </w:r>
    </w:p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right="30"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u w:val="single"/>
          <w:lang w:eastAsia="ru-RU"/>
        </w:rPr>
        <w:sectPr w:rsidR="00A60E1E" w:rsidRPr="00A60E1E" w:rsidSect="00A60E1E">
          <w:footerReference w:type="firs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Екатеринбург</w:t>
      </w:r>
      <w:r>
        <w:rPr>
          <w:rFonts w:ascii="Liberation Serif" w:eastAsia="Times New Roman" w:hAnsi="Liberation Serif" w:cs="Times New Roman"/>
          <w:szCs w:val="28"/>
          <w:lang w:eastAsia="ru-RU"/>
        </w:rPr>
        <w:t>, 202</w:t>
      </w:r>
      <w:r w:rsidR="00C1104B">
        <w:rPr>
          <w:rFonts w:ascii="Liberation Serif" w:eastAsia="Times New Roman" w:hAnsi="Liberation Serif" w:cs="Times New Roman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</w:t>
      </w:r>
    </w:p>
    <w:p w:rsidR="005C3C2D" w:rsidRPr="005C3C2D" w:rsidRDefault="005C3C2D" w:rsidP="005C3C2D">
      <w:pPr>
        <w:widowControl w:val="0"/>
        <w:tabs>
          <w:tab w:val="left" w:pos="-142"/>
          <w:tab w:val="left" w:pos="8222"/>
        </w:tabs>
        <w:ind w:right="30" w:firstLine="567"/>
        <w:rPr>
          <w:rFonts w:eastAsia="Times New Roman" w:cs="Times New Roman"/>
          <w:b/>
          <w:szCs w:val="28"/>
          <w:lang w:eastAsia="ru-RU"/>
        </w:rPr>
      </w:pPr>
      <w:bookmarkStart w:id="34" w:name="_Toc451182001"/>
      <w:bookmarkStart w:id="35" w:name="_Toc451469286"/>
      <w:bookmarkStart w:id="36" w:name="_Toc452336960"/>
      <w:bookmarkStart w:id="37" w:name="_Toc465106067"/>
      <w:bookmarkStart w:id="38" w:name="_Toc467011208"/>
      <w:bookmarkStart w:id="39" w:name="_Toc469954433"/>
      <w:bookmarkStart w:id="40" w:name="_Toc487707106"/>
      <w:bookmarkStart w:id="41" w:name="_Toc499148751"/>
      <w:bookmarkStart w:id="42" w:name="_Toc500883641"/>
      <w:bookmarkStart w:id="43" w:name="_Toc500883718"/>
      <w:bookmarkStart w:id="44" w:name="_Toc504699267"/>
      <w:bookmarkStart w:id="45" w:name="_Toc505692620"/>
      <w:bookmarkStart w:id="46" w:name="_Toc508302560"/>
      <w:bookmarkStart w:id="47" w:name="_Toc508754422"/>
      <w:bookmarkStart w:id="48" w:name="_Toc509104172"/>
      <w:bookmarkStart w:id="49" w:name="_Toc510175194"/>
      <w:bookmarkStart w:id="50" w:name="_Toc510300006"/>
      <w:bookmarkStart w:id="51" w:name="_Toc517703438"/>
      <w:bookmarkStart w:id="52" w:name="_Toc517719180"/>
      <w:bookmarkStart w:id="53" w:name="_Toc517907676"/>
      <w:bookmarkStart w:id="54" w:name="_Toc522192919"/>
      <w:bookmarkStart w:id="55" w:name="_Toc522628534"/>
      <w:bookmarkStart w:id="56" w:name="_Toc524892686"/>
      <w:bookmarkStart w:id="57" w:name="_Toc531808748"/>
      <w:bookmarkStart w:id="58" w:name="_Toc531991097"/>
      <w:bookmarkStart w:id="59" w:name="_Toc532148576"/>
      <w:bookmarkStart w:id="60" w:name="_Toc1641055"/>
      <w:bookmarkStart w:id="61" w:name="_Toc18076321"/>
      <w:bookmarkStart w:id="62" w:name="_Toc23197760"/>
      <w:bookmarkStart w:id="63" w:name="_Toc28428427"/>
      <w:bookmarkStart w:id="64" w:name="_Toc45632293"/>
      <w:bookmarkStart w:id="65" w:name="_Toc46407090"/>
      <w:r w:rsidRPr="005C3C2D">
        <w:rPr>
          <w:rFonts w:eastAsia="Times New Roman" w:cs="Times New Roman"/>
          <w:b/>
          <w:szCs w:val="28"/>
          <w:lang w:eastAsia="ru-RU"/>
        </w:rPr>
        <w:lastRenderedPageBreak/>
        <w:t>Оглавление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5C3C2D" w:rsidRPr="005C3C2D" w:rsidRDefault="005C3C2D" w:rsidP="005C3C2D">
      <w:pPr>
        <w:tabs>
          <w:tab w:val="left" w:pos="9072"/>
          <w:tab w:val="right" w:leader="dot" w:pos="9360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D34" w:rsidRDefault="005C3C2D">
      <w:pPr>
        <w:pStyle w:val="12"/>
        <w:tabs>
          <w:tab w:val="right" w:leader="dot" w:pos="9488"/>
        </w:tabs>
        <w:rPr>
          <w:rFonts w:eastAsiaTheme="minorEastAsia"/>
          <w:noProof/>
          <w:lang w:eastAsia="ru-RU"/>
        </w:rPr>
      </w:pPr>
      <w:r w:rsidRPr="005C3C2D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C3C2D">
        <w:rPr>
          <w:rFonts w:eastAsia="Times New Roman" w:cs="Times New Roman"/>
          <w:sz w:val="24"/>
          <w:szCs w:val="24"/>
          <w:lang w:eastAsia="ru-RU"/>
        </w:rPr>
        <w:instrText xml:space="preserve"> TOC \o "1-1" \h \z \u </w:instrText>
      </w:r>
      <w:r w:rsidRPr="005C3C2D">
        <w:rPr>
          <w:rFonts w:eastAsia="Times New Roman" w:cs="Times New Roman"/>
          <w:sz w:val="24"/>
          <w:szCs w:val="24"/>
          <w:lang w:eastAsia="ru-RU"/>
        </w:rPr>
        <w:fldChar w:fldCharType="separate"/>
      </w:r>
      <w:hyperlink w:anchor="_Toc89724383" w:history="1">
        <w:r w:rsidR="00240D34" w:rsidRPr="00B56BB7">
          <w:rPr>
            <w:rStyle w:val="a8"/>
            <w:rFonts w:eastAsia="Times New Roman" w:cs="Times New Roman"/>
            <w:b/>
            <w:noProof/>
            <w:lang w:eastAsia="ru-RU"/>
          </w:rPr>
          <w:t>Общие положения</w:t>
        </w:r>
        <w:r w:rsidR="00240D34">
          <w:rPr>
            <w:noProof/>
            <w:webHidden/>
          </w:rPr>
          <w:tab/>
        </w:r>
        <w:r w:rsidR="00240D34">
          <w:rPr>
            <w:noProof/>
            <w:webHidden/>
          </w:rPr>
          <w:fldChar w:fldCharType="begin"/>
        </w:r>
        <w:r w:rsidR="00240D34">
          <w:rPr>
            <w:noProof/>
            <w:webHidden/>
          </w:rPr>
          <w:instrText xml:space="preserve"> PAGEREF _Toc89724383 \h </w:instrText>
        </w:r>
        <w:r w:rsidR="00240D34">
          <w:rPr>
            <w:noProof/>
            <w:webHidden/>
          </w:rPr>
        </w:r>
        <w:r w:rsidR="00240D34">
          <w:rPr>
            <w:noProof/>
            <w:webHidden/>
          </w:rPr>
          <w:fldChar w:fldCharType="separate"/>
        </w:r>
        <w:r w:rsidR="00240D34">
          <w:rPr>
            <w:noProof/>
            <w:webHidden/>
          </w:rPr>
          <w:t>4</w:t>
        </w:r>
        <w:r w:rsidR="00240D34">
          <w:rPr>
            <w:noProof/>
            <w:webHidden/>
          </w:rPr>
          <w:fldChar w:fldCharType="end"/>
        </w:r>
      </w:hyperlink>
    </w:p>
    <w:p w:rsidR="00240D34" w:rsidRDefault="006443D5">
      <w:pPr>
        <w:pStyle w:val="12"/>
        <w:tabs>
          <w:tab w:val="right" w:leader="dot" w:pos="9488"/>
        </w:tabs>
        <w:rPr>
          <w:rFonts w:eastAsiaTheme="minorEastAsia"/>
          <w:noProof/>
          <w:lang w:eastAsia="ru-RU"/>
        </w:rPr>
      </w:pPr>
      <w:hyperlink w:anchor="_Toc89724384" w:history="1">
        <w:r w:rsidR="00240D34" w:rsidRPr="00B56BB7">
          <w:rPr>
            <w:rStyle w:val="a8"/>
            <w:rFonts w:ascii="Liberation Serif" w:eastAsia="Calibri" w:hAnsi="Liberation Serif"/>
            <w:noProof/>
            <w:lang w:eastAsia="ru-RU"/>
          </w:rPr>
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характеристики зон с особыми условиями использования территорий, установление которых требуется в связи с размещением данных объектов</w:t>
        </w:r>
        <w:r w:rsidR="00240D34">
          <w:rPr>
            <w:noProof/>
            <w:webHidden/>
          </w:rPr>
          <w:tab/>
        </w:r>
        <w:r w:rsidR="00240D34">
          <w:rPr>
            <w:noProof/>
            <w:webHidden/>
          </w:rPr>
          <w:fldChar w:fldCharType="begin"/>
        </w:r>
        <w:r w:rsidR="00240D34">
          <w:rPr>
            <w:noProof/>
            <w:webHidden/>
          </w:rPr>
          <w:instrText xml:space="preserve"> PAGEREF _Toc89724384 \h </w:instrText>
        </w:r>
        <w:r w:rsidR="00240D34">
          <w:rPr>
            <w:noProof/>
            <w:webHidden/>
          </w:rPr>
        </w:r>
        <w:r w:rsidR="00240D34">
          <w:rPr>
            <w:noProof/>
            <w:webHidden/>
          </w:rPr>
          <w:fldChar w:fldCharType="separate"/>
        </w:r>
        <w:r w:rsidR="00240D34">
          <w:rPr>
            <w:noProof/>
            <w:webHidden/>
          </w:rPr>
          <w:t>8</w:t>
        </w:r>
        <w:r w:rsidR="00240D34">
          <w:rPr>
            <w:noProof/>
            <w:webHidden/>
          </w:rPr>
          <w:fldChar w:fldCharType="end"/>
        </w:r>
      </w:hyperlink>
    </w:p>
    <w:p w:rsidR="00240D34" w:rsidRDefault="006443D5">
      <w:pPr>
        <w:pStyle w:val="12"/>
        <w:tabs>
          <w:tab w:val="right" w:leader="dot" w:pos="9488"/>
        </w:tabs>
        <w:rPr>
          <w:rFonts w:eastAsiaTheme="minorEastAsia"/>
          <w:noProof/>
          <w:lang w:eastAsia="ru-RU"/>
        </w:rPr>
      </w:pPr>
      <w:hyperlink w:anchor="_Toc89724385" w:history="1">
        <w:r w:rsidR="00240D34" w:rsidRPr="00B56BB7">
          <w:rPr>
            <w:rStyle w:val="a8"/>
            <w:rFonts w:ascii="Liberation Serif" w:eastAsia="Times New Roman" w:hAnsi="Liberation Serif"/>
            <w:noProof/>
            <w:lang w:eastAsia="ru-RU"/>
          </w:rPr>
          <w:t>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240D34">
          <w:rPr>
            <w:noProof/>
            <w:webHidden/>
          </w:rPr>
          <w:tab/>
        </w:r>
        <w:r w:rsidR="00240D34">
          <w:rPr>
            <w:noProof/>
            <w:webHidden/>
          </w:rPr>
          <w:fldChar w:fldCharType="begin"/>
        </w:r>
        <w:r w:rsidR="00240D34">
          <w:rPr>
            <w:noProof/>
            <w:webHidden/>
          </w:rPr>
          <w:instrText xml:space="preserve"> PAGEREF _Toc89724385 \h </w:instrText>
        </w:r>
        <w:r w:rsidR="00240D34">
          <w:rPr>
            <w:noProof/>
            <w:webHidden/>
          </w:rPr>
        </w:r>
        <w:r w:rsidR="00240D34">
          <w:rPr>
            <w:noProof/>
            <w:webHidden/>
          </w:rPr>
          <w:fldChar w:fldCharType="separate"/>
        </w:r>
        <w:r w:rsidR="00240D34">
          <w:rPr>
            <w:noProof/>
            <w:webHidden/>
          </w:rPr>
          <w:t>35</w:t>
        </w:r>
        <w:r w:rsidR="00240D34">
          <w:rPr>
            <w:noProof/>
            <w:webHidden/>
          </w:rPr>
          <w:fldChar w:fldCharType="end"/>
        </w:r>
      </w:hyperlink>
    </w:p>
    <w:p w:rsidR="005C3C2D" w:rsidRPr="005C3C2D" w:rsidRDefault="005C3C2D" w:rsidP="005C3C2D">
      <w:pPr>
        <w:tabs>
          <w:tab w:val="left" w:pos="-142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  <w:sectPr w:rsidR="005C3C2D" w:rsidRPr="005C3C2D" w:rsidSect="005C3C2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45" w:right="707" w:bottom="1616" w:left="1701" w:header="284" w:footer="510" w:gutter="0"/>
          <w:cols w:space="708"/>
          <w:titlePg/>
          <w:docGrid w:linePitch="360"/>
        </w:sectPr>
      </w:pPr>
      <w:r w:rsidRPr="005C3C2D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840216" w:rsidRPr="000C1822" w:rsidRDefault="00840216" w:rsidP="00840216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b/>
          <w:i/>
          <w:szCs w:val="28"/>
        </w:rPr>
      </w:pPr>
      <w:bookmarkStart w:id="66" w:name="_Toc89724383"/>
      <w:r w:rsidRPr="000C1822">
        <w:rPr>
          <w:rFonts w:ascii="Liberation Serif" w:hAnsi="Liberation Serif"/>
          <w:b/>
          <w:noProof/>
          <w:szCs w:val="28"/>
        </w:rPr>
        <w:lastRenderedPageBreak/>
        <w:t xml:space="preserve">Авторский коллектив ООО </w:t>
      </w:r>
      <w:r>
        <w:rPr>
          <w:rFonts w:ascii="Liberation Serif" w:hAnsi="Liberation Serif"/>
          <w:b/>
          <w:noProof/>
          <w:szCs w:val="28"/>
        </w:rPr>
        <w:t>«</w:t>
      </w:r>
      <w:r w:rsidRPr="000C1822">
        <w:rPr>
          <w:rFonts w:ascii="Liberation Serif" w:hAnsi="Liberation Serif"/>
          <w:b/>
          <w:noProof/>
          <w:szCs w:val="28"/>
        </w:rPr>
        <w:t>Кадастровый центр</w:t>
      </w:r>
      <w:r>
        <w:rPr>
          <w:rFonts w:ascii="Liberation Serif" w:hAnsi="Liberation Serif"/>
          <w:b/>
          <w:noProof/>
          <w:szCs w:val="28"/>
        </w:rPr>
        <w:t>»</w:t>
      </w:r>
      <w:r w:rsidRPr="000C1822">
        <w:rPr>
          <w:rFonts w:ascii="Liberation Serif" w:hAnsi="Liberation Serif"/>
          <w:b/>
          <w:noProof/>
          <w:szCs w:val="28"/>
        </w:rPr>
        <w:t xml:space="preserve"> </w:t>
      </w:r>
      <w:r w:rsidRPr="00D20FC4">
        <w:rPr>
          <w:rFonts w:ascii="Liberation Serif" w:hAnsi="Liberation Serif"/>
          <w:b/>
          <w:noProof/>
          <w:szCs w:val="28"/>
        </w:rPr>
        <w:t xml:space="preserve">по разработке генерального плана </w:t>
      </w:r>
      <w:r w:rsidR="00145C8A">
        <w:rPr>
          <w:rFonts w:ascii="Liberation Serif" w:hAnsi="Liberation Serif"/>
          <w:b/>
          <w:noProof/>
          <w:szCs w:val="28"/>
        </w:rPr>
        <w:t>Новомихайловского</w:t>
      </w:r>
      <w:r>
        <w:rPr>
          <w:rFonts w:ascii="Liberation Serif" w:hAnsi="Liberation Serif"/>
          <w:b/>
          <w:noProof/>
          <w:szCs w:val="28"/>
        </w:rPr>
        <w:t xml:space="preserve"> </w:t>
      </w:r>
      <w:r w:rsidRPr="00D20FC4">
        <w:rPr>
          <w:rFonts w:ascii="Liberation Serif" w:hAnsi="Liberation Serif"/>
          <w:b/>
          <w:noProof/>
          <w:szCs w:val="28"/>
        </w:rPr>
        <w:t>сельсовета</w:t>
      </w:r>
      <w:r>
        <w:rPr>
          <w:rFonts w:ascii="Liberation Serif" w:hAnsi="Liberation Serif"/>
          <w:b/>
          <w:i/>
          <w:szCs w:val="28"/>
        </w:rPr>
        <w:t xml:space="preserve"> </w:t>
      </w:r>
    </w:p>
    <w:p w:rsidR="00E13C17" w:rsidRPr="000C1822" w:rsidRDefault="00E13C17" w:rsidP="00E13C17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szCs w:val="28"/>
        </w:rPr>
      </w:pPr>
      <w:r w:rsidRPr="00F245DD">
        <w:rPr>
          <w:rFonts w:ascii="Liberation Serif" w:hAnsi="Liberation Serif"/>
          <w:b/>
          <w:i/>
          <w:szCs w:val="28"/>
        </w:rPr>
        <w:t>Д</w:t>
      </w:r>
      <w:r>
        <w:rPr>
          <w:rFonts w:ascii="Liberation Serif" w:hAnsi="Liberation Serif"/>
          <w:b/>
          <w:i/>
          <w:szCs w:val="28"/>
        </w:rPr>
        <w:t>оговор</w:t>
      </w:r>
      <w:r w:rsidRPr="00F245DD">
        <w:rPr>
          <w:rFonts w:ascii="Liberation Serif" w:hAnsi="Liberation Serif"/>
          <w:b/>
          <w:i/>
          <w:szCs w:val="28"/>
        </w:rPr>
        <w:t xml:space="preserve"> №07/2022 от 08.04.2022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1"/>
        <w:gridCol w:w="3114"/>
      </w:tblGrid>
      <w:tr w:rsidR="00840216" w:rsidRPr="000C1822" w:rsidTr="00840216">
        <w:trPr>
          <w:trHeight w:val="517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bCs/>
                <w:szCs w:val="28"/>
              </w:rPr>
              <w:t>Генеральный директор, к.т.н.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А.В. Рычков</w:t>
            </w:r>
          </w:p>
        </w:tc>
      </w:tr>
      <w:tr w:rsidR="00840216" w:rsidRPr="000C1822" w:rsidTr="00840216">
        <w:trPr>
          <w:trHeight w:val="517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Гл. градостроитель проекта, ст. науч. сотр.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Д.Ю. Ширяев</w:t>
            </w:r>
          </w:p>
        </w:tc>
      </w:tr>
      <w:tr w:rsidR="00840216" w:rsidRPr="000C1822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Системный аналитик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Т.А. Дементьева</w:t>
            </w:r>
          </w:p>
        </w:tc>
      </w:tr>
      <w:tr w:rsidR="00840216" w:rsidRPr="000C1822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Инженер-картограф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Е.С. Верхотурцева</w:t>
            </w:r>
          </w:p>
        </w:tc>
      </w:tr>
      <w:tr w:rsidR="00840216" w:rsidRPr="000C1822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Инженер-геодезист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Н.Р. Мокерова</w:t>
            </w:r>
          </w:p>
        </w:tc>
      </w:tr>
      <w:tr w:rsidR="00840216" w:rsidRPr="000C1822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Директор по стратегическому развитию, инженер-архитектор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А.П. Федосов</w:t>
            </w:r>
          </w:p>
        </w:tc>
      </w:tr>
      <w:tr w:rsidR="00840216" w:rsidRPr="000C1822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Системный аналитик</w:t>
            </w:r>
          </w:p>
        </w:tc>
        <w:tc>
          <w:tcPr>
            <w:tcW w:w="1666" w:type="pct"/>
            <w:vAlign w:val="center"/>
          </w:tcPr>
          <w:p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Е.С. Дорогина</w:t>
            </w:r>
          </w:p>
        </w:tc>
      </w:tr>
    </w:tbl>
    <w:p w:rsidR="005C3C2D" w:rsidRPr="005C3C2D" w:rsidRDefault="005C3C2D" w:rsidP="005C3C2D">
      <w:pPr>
        <w:keepNext/>
        <w:pageBreakBefore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C3C2D">
        <w:rPr>
          <w:rFonts w:eastAsia="Times New Roman" w:cs="Times New Roman"/>
          <w:b/>
          <w:szCs w:val="24"/>
          <w:lang w:eastAsia="ru-RU"/>
        </w:rPr>
        <w:t>Общие положения</w:t>
      </w:r>
      <w:bookmarkEnd w:id="66"/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bookmarkStart w:id="67" w:name="_Hlk61817761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Градостроительным кодексом Российской Федерации</w:t>
      </w:r>
      <w:bookmarkEnd w:id="67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5C3C2D" w:rsidRPr="00A60E1E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5C3C2D" w:rsidRPr="00A60E1E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5C3C2D" w:rsidRPr="00A60E1E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5C3C2D" w:rsidRPr="00A60E1E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14" w:history="1">
        <w:r w:rsidRPr="00A60E1E">
          <w:rPr>
            <w:rFonts w:ascii="Liberation Serif" w:eastAsia="Times New Roman" w:hAnsi="Liberation Serif" w:cs="Times New Roman"/>
            <w:szCs w:val="28"/>
            <w:lang w:eastAsia="ru-RU"/>
          </w:rPr>
          <w:t>Конституцией</w:t>
        </w:r>
      </w:hyperlink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Федерации;</w:t>
      </w:r>
    </w:p>
    <w:p w:rsidR="005C3C2D" w:rsidRPr="00A60E1E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органов государственной власти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hyperlink r:id="rId15" w:history="1">
        <w:r w:rsidRPr="00A60E1E">
          <w:rPr>
            <w:rFonts w:ascii="Liberation Serif" w:eastAsia="Times New Roman" w:hAnsi="Liberation Serif" w:cs="Times New Roman"/>
            <w:szCs w:val="28"/>
            <w:lang w:eastAsia="ru-RU"/>
          </w:rPr>
          <w:t>Конституцией</w:t>
        </w:r>
      </w:hyperlink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Уставом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законами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решениями высшего исполнительного органа государственной власти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и оказывают существенное влияние на социально-экономическое развитие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5C3C2D" w:rsidRPr="00A60E1E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Уставом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и оказывают существенное влияние на социально-экономическое развитие </w:t>
      </w:r>
      <w:r w:rsidR="00DD3BBA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 Борцовский сельсовет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. Виды объектов местного значения </w:t>
      </w:r>
      <w:r w:rsidR="00F7194D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в указанных в </w:t>
      </w:r>
      <w:hyperlink w:anchor="Par1033" w:tooltip="1) планируемые для размещения объекты местного значения поселения, городского округа, относящиеся к следующим областям:" w:history="1">
        <w:r w:rsidRPr="00A60E1E">
          <w:rPr>
            <w:rFonts w:ascii="Liberation Serif" w:eastAsia="Times New Roman" w:hAnsi="Liberation Serif" w:cs="Times New Roman"/>
            <w:szCs w:val="28"/>
            <w:lang w:eastAsia="ru-RU"/>
          </w:rPr>
          <w:t>пункте 1 части 5 статьи 23</w:t>
        </w:r>
      </w:hyperlink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Градостроительного кодекса Российской Федерации областях, подлежащих отображению на генеральном плане </w:t>
      </w:r>
      <w:r w:rsidR="00F7194D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определены Законом </w:t>
      </w:r>
      <w:r w:rsidR="00840216" w:rsidRPr="00957D02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957D02">
        <w:rPr>
          <w:rFonts w:ascii="Liberation Serif" w:eastAsia="Times New Roman" w:hAnsi="Liberation Serif" w:cs="Times New Roman"/>
          <w:szCs w:val="28"/>
          <w:lang w:eastAsia="ru-RU"/>
        </w:rPr>
        <w:t xml:space="preserve"> от </w:t>
      </w:r>
      <w:r w:rsidR="00DD3BBA">
        <w:rPr>
          <w:rFonts w:ascii="Liberation Serif" w:eastAsia="Times New Roman" w:hAnsi="Liberation Serif" w:cs="Times New Roman"/>
          <w:szCs w:val="28"/>
          <w:lang w:eastAsia="ru-RU"/>
        </w:rPr>
        <w:t>5 октября</w:t>
      </w:r>
      <w:r w:rsidR="00957D02">
        <w:rPr>
          <w:rFonts w:ascii="Liberation Serif" w:eastAsia="Times New Roman" w:hAnsi="Liberation Serif" w:cs="Times New Roman"/>
          <w:szCs w:val="28"/>
          <w:lang w:eastAsia="ru-RU"/>
        </w:rPr>
        <w:t xml:space="preserve"> 2012 года № 83-3РХ</w:t>
      </w:r>
      <w:r w:rsidR="00DC2C65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</w:t>
      </w:r>
      <w:hyperlink r:id="rId16" w:history="1">
        <w:r w:rsidRPr="00A60E1E">
          <w:rPr>
            <w:rFonts w:ascii="Liberation Serif" w:eastAsia="Times New Roman" w:hAnsi="Liberation Serif" w:cs="Times New Roman"/>
            <w:szCs w:val="28"/>
            <w:lang w:eastAsia="ru-RU"/>
          </w:rPr>
          <w:t>решений</w:t>
        </w:r>
      </w:hyperlink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и реализации таких решений. 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Российской Федерации, со дня утверждения.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двух и более субъектов Российской Федерации, документам территориального планирования субъекта Российской Федерации, со дня утверждения.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68" w:name="Par611"/>
      <w:bookmarkEnd w:id="68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Подготовка </w:t>
      </w:r>
      <w:bookmarkStart w:id="69" w:name="_Hlk61818388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проекта Генерального плана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bookmarkEnd w:id="69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осуществлена с учетом положений стратегии социально-экономического развития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и плана мероприятий по её реализации, бюджетного прогноза муниципального образования на долгосрочный период (при наличии), положений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</w:t>
      </w:r>
      <w:r w:rsidR="00840216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муниципальных программ, инвестиционных программ субъектов естественных монополий, организаций коммунального комплекса,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планирования. Подготовка проекта </w:t>
      </w:r>
      <w:r w:rsidR="00F7194D">
        <w:rPr>
          <w:rFonts w:ascii="Liberation Serif" w:eastAsia="Times New Roman" w:hAnsi="Liberation Serif" w:cs="Times New Roman"/>
          <w:szCs w:val="28"/>
          <w:lang w:eastAsia="ru-RU"/>
        </w:rPr>
        <w:t xml:space="preserve">генерального плана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осуществлена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субъекта Российской Федерации, </w:t>
      </w:r>
      <w:r w:rsidR="00F7194D" w:rsidRPr="00F7194D">
        <w:rPr>
          <w:rFonts w:ascii="Liberation Serif" w:eastAsia="Times New Roman" w:hAnsi="Liberation Serif" w:cs="Times New Roman"/>
          <w:szCs w:val="28"/>
          <w:lang w:eastAsia="ru-RU"/>
        </w:rPr>
        <w:t xml:space="preserve">документов территориального планирования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>Алтайского</w:t>
      </w:r>
      <w:r w:rsidR="00F7194D" w:rsidRPr="00F7194D">
        <w:rPr>
          <w:rFonts w:ascii="Liberation Serif" w:eastAsia="Times New Roman" w:hAnsi="Liberation Serif" w:cs="Times New Roman"/>
          <w:szCs w:val="28"/>
          <w:lang w:eastAsia="ru-RU"/>
        </w:rPr>
        <w:t xml:space="preserve"> муниципального района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а также с учетом предложений заинтересованных лиц. Подготовка проекта Генерального плана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осуществляется в соответствии с требованиями </w:t>
      </w:r>
      <w:hyperlink w:anchor="Par585" w:tooltip="Статья 9. Общие положения о документах территориального планирования" w:history="1">
        <w:r w:rsidRPr="00A60E1E">
          <w:rPr>
            <w:rFonts w:ascii="Liberation Serif" w:eastAsia="Times New Roman" w:hAnsi="Liberation Serif" w:cs="Times New Roman"/>
            <w:szCs w:val="28"/>
            <w:lang w:eastAsia="ru-RU"/>
          </w:rPr>
          <w:t>статьи 9</w:t>
        </w:r>
      </w:hyperlink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Подготовка Генерального плана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осуществлена применительно ко всей территории </w:t>
      </w:r>
      <w:r w:rsidR="00F7194D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Генеральный план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содержит: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5C3C2D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положение о территориальном планировании;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70" w:name="Par1026"/>
      <w:bookmarkEnd w:id="70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2) карту планируемого размещения объектов местного значения городского </w:t>
      </w:r>
      <w:r w:rsidR="00037D20">
        <w:rPr>
          <w:rFonts w:ascii="Liberation Serif" w:eastAsia="Times New Roman" w:hAnsi="Liberation Serif" w:cs="Times New Roman"/>
          <w:szCs w:val="28"/>
          <w:lang w:eastAsia="ru-RU"/>
        </w:rPr>
        <w:t>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3) карту границ </w:t>
      </w:r>
      <w:r w:rsidR="00037D20">
        <w:rPr>
          <w:rFonts w:ascii="Liberation Serif" w:eastAsia="Times New Roman" w:hAnsi="Liberation Serif" w:cs="Times New Roman"/>
          <w:szCs w:val="28"/>
          <w:lang w:eastAsia="ru-RU"/>
        </w:rPr>
        <w:t>поселка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71" w:name="Par1028"/>
      <w:bookmarkEnd w:id="71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>4) кар</w:t>
      </w:r>
      <w:r w:rsidR="00037D20">
        <w:rPr>
          <w:rFonts w:ascii="Liberation Serif" w:eastAsia="Times New Roman" w:hAnsi="Liberation Serif" w:cs="Times New Roman"/>
          <w:szCs w:val="28"/>
          <w:lang w:eastAsia="ru-RU"/>
        </w:rPr>
        <w:t>ту функциональных зон поселка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городского </w:t>
      </w:r>
      <w:r w:rsidR="00037D20">
        <w:rPr>
          <w:rFonts w:ascii="Liberation Serif" w:eastAsia="Times New Roman" w:hAnsi="Liberation Serif" w:cs="Times New Roman"/>
          <w:szCs w:val="28"/>
          <w:lang w:eastAsia="ru-RU"/>
        </w:rPr>
        <w:t>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На картах, содержащихся в генеральном плане, соответственно отображены: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72" w:name="Par1033"/>
      <w:bookmarkEnd w:id="72"/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1) планируемые для размещения объекты местного значения городского </w:t>
      </w:r>
      <w:r w:rsidR="00037D20">
        <w:rPr>
          <w:rFonts w:ascii="Liberation Serif" w:eastAsia="Times New Roman" w:hAnsi="Liberation Serif" w:cs="Times New Roman"/>
          <w:szCs w:val="28"/>
          <w:lang w:eastAsia="ru-RU"/>
        </w:rPr>
        <w:t>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, относящиеся к следующим областям: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а) электро-, тепло-, газо- и водоснабжение населения, водоотведение;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б) автомобильные дороги местного значения;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г) иные области в связи с решением вопросов местного значения поселения, </w:t>
      </w:r>
      <w:r w:rsidR="00F7194D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2) границ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>ы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населенн</w:t>
      </w:r>
      <w:r w:rsidR="00DC2C65">
        <w:rPr>
          <w:rFonts w:ascii="Liberation Serif" w:eastAsia="Times New Roman" w:hAnsi="Liberation Serif" w:cs="Times New Roman"/>
          <w:szCs w:val="28"/>
          <w:lang w:eastAsia="ru-RU"/>
        </w:rPr>
        <w:t>ых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пункт</w:t>
      </w:r>
      <w:r w:rsidR="00DC2C65">
        <w:rPr>
          <w:rFonts w:ascii="Liberation Serif" w:eastAsia="Times New Roman" w:hAnsi="Liberation Serif" w:cs="Times New Roman"/>
          <w:szCs w:val="28"/>
          <w:lang w:eastAsia="ru-RU"/>
        </w:rPr>
        <w:t>ов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установлены Приказом Минэкономразвития России от 9 января 2018 г. № 10.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Обязательным приложением к генеральному плану являются сведения о границах населенн</w:t>
      </w:r>
      <w:r w:rsidR="002C615B">
        <w:rPr>
          <w:rFonts w:ascii="Liberation Serif" w:eastAsia="Times New Roman" w:hAnsi="Liberation Serif" w:cs="Times New Roman"/>
          <w:szCs w:val="28"/>
          <w:lang w:eastAsia="ru-RU"/>
        </w:rPr>
        <w:t>ого пункта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  <w:sectPr w:rsidR="005C3C2D" w:rsidRPr="00A60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Генеральный план </w:t>
      </w:r>
      <w:r w:rsidR="00E13C17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Новомихайловский сельсовет 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утверждается на срок </w:t>
      </w:r>
      <w:r w:rsidRPr="00A60E1E">
        <w:rPr>
          <w:rFonts w:ascii="Liberation Serif" w:eastAsia="Times New Roman" w:hAnsi="Liberation Serif" w:cs="Times New Roman"/>
          <w:b/>
          <w:szCs w:val="28"/>
          <w:lang w:eastAsia="ru-RU"/>
        </w:rPr>
        <w:t>двадцать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лет.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35"/>
        <w:gridCol w:w="2220"/>
        <w:gridCol w:w="1920"/>
        <w:gridCol w:w="1515"/>
        <w:gridCol w:w="3270"/>
        <w:gridCol w:w="2685"/>
      </w:tblGrid>
      <w:tr w:rsidR="003504CB" w:rsidRPr="003504CB" w:rsidTr="00A60E1E">
        <w:trPr>
          <w:trHeight w:hRule="exact" w:val="60"/>
        </w:trPr>
        <w:tc>
          <w:tcPr>
            <w:tcW w:w="14265" w:type="dxa"/>
            <w:gridSpan w:val="7"/>
          </w:tcPr>
          <w:p w:rsidR="003504CB" w:rsidRPr="003504CB" w:rsidRDefault="003504CB" w:rsidP="003504CB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3504CB" w:rsidRPr="003504CB" w:rsidTr="00A60E1E">
        <w:trPr>
          <w:trHeight w:val="915"/>
        </w:trPr>
        <w:tc>
          <w:tcPr>
            <w:tcW w:w="14265" w:type="dxa"/>
            <w:gridSpan w:val="7"/>
            <w:shd w:val="clear" w:color="auto" w:fill="auto"/>
          </w:tcPr>
          <w:p w:rsidR="003504CB" w:rsidRPr="003504CB" w:rsidRDefault="003504CB" w:rsidP="008023E9">
            <w:pPr>
              <w:pStyle w:val="1"/>
              <w:rPr>
                <w:rFonts w:ascii="Times New Roman" w:eastAsia="Calibri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bookmarkStart w:id="73" w:name="_Toc89724384"/>
            <w:r w:rsidRPr="00240D34">
              <w:rPr>
                <w:rFonts w:ascii="Liberation Serif" w:eastAsia="Calibri" w:hAnsi="Liberation Serif"/>
                <w:noProof/>
                <w:color w:val="000000" w:themeColor="text1"/>
                <w:sz w:val="28"/>
                <w:szCs w:val="28"/>
                <w:lang w:eastAsia="ru-RU"/>
              </w:rPr>
              <w:t>1. Сведения о видах, назначении и наименованиях планируемых для размещения объектов местного значения, их основные характеристики, их местоположение, характеристики зон с особыми условиями использования территорий, установление которых требуется в связи с размещением данных объектов</w:t>
            </w:r>
            <w:bookmarkEnd w:id="73"/>
          </w:p>
        </w:tc>
      </w:tr>
      <w:tr w:rsidR="003504CB" w:rsidRPr="003504CB" w:rsidTr="00A60E1E">
        <w:trPr>
          <w:trHeight w:val="13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Номер согласно Положению о территориальном планировании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Местоположение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Статус объекта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Основные характеристики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с особыми условиями использования территорий, установление которых требуется в связи с размещением объектов местного значения</w:t>
            </w:r>
          </w:p>
        </w:tc>
      </w:tr>
    </w:tbl>
    <w:p w:rsidR="003504CB" w:rsidRPr="003504CB" w:rsidRDefault="003504CB" w:rsidP="003504CB">
      <w:pPr>
        <w:spacing w:line="45" w:lineRule="exact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35"/>
        <w:gridCol w:w="2220"/>
        <w:gridCol w:w="1920"/>
        <w:gridCol w:w="1515"/>
        <w:gridCol w:w="3270"/>
        <w:gridCol w:w="2685"/>
      </w:tblGrid>
      <w:tr w:rsidR="008023E9" w:rsidRPr="008023E9" w:rsidTr="008023E9">
        <w:trPr>
          <w:trHeight w:val="3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8023E9" w:rsidRPr="008023E9" w:rsidTr="00995C0C">
        <w:trPr>
          <w:trHeight w:val="36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ascii="Liberation Serif" w:eastAsia="Calibri" w:hAnsi="Liberation Serif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ascii="Liberation Serif" w:eastAsia="Calibri" w:hAnsi="Liberation Serif" w:cs="Times New Roman"/>
                <w:b/>
                <w:noProof/>
                <w:color w:val="000000"/>
                <w:sz w:val="22"/>
                <w:szCs w:val="19"/>
                <w:lang w:eastAsia="ru-RU"/>
              </w:rPr>
              <w:t>Объекты местного значения муниципального района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1.1.Распределительные трубопроводы для транспортировки газа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1.1.1.Распределительные трубопроводы для транспортировки газа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602040601 - Газопровод распределительный высокого давления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1,219;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10,640;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1.2.Объекты отдыха и туризма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1.2.1.Объекты отдыха и туризма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602010605 - Объекты физкультурно-досугового назначения и активного отдыха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Домик рыбака на озере Черное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отдыха.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Подтип объекта физкультурно-досугового назначения и активного отдыха: Дом рыбака и охот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ника (база, комплекс и другое);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ачение объекта: Объект туризма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1.3.Автомобильные дороги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1.3.1.Автомобильные дороги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602030303 - Автомобильные дороги местного значения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3D5" w:rsidRPr="00CE1E90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CE1E90">
              <w:rPr>
                <w:rFonts w:eastAsia="Calibri"/>
                <w:noProof/>
                <w:color w:val="000000"/>
                <w:sz w:val="19"/>
                <w:szCs w:val="19"/>
              </w:rPr>
              <w:t>Строительство подъездной дороги к</w:t>
            </w:r>
          </w:p>
          <w:p w:rsidR="006443D5" w:rsidRPr="00CE1E90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CE1E90">
              <w:rPr>
                <w:rFonts w:eastAsia="Calibri"/>
                <w:noProof/>
                <w:color w:val="000000"/>
                <w:sz w:val="19"/>
                <w:szCs w:val="19"/>
              </w:rPr>
              <w:t>Новомихайловскому нефтегазовому</w:t>
            </w:r>
          </w:p>
          <w:p w:rsidR="008023E9" w:rsidRPr="008023E9" w:rsidRDefault="006443D5" w:rsidP="006443D5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CE1E90">
              <w:rPr>
                <w:rFonts w:eastAsia="Calibri"/>
                <w:noProof/>
                <w:color w:val="000000"/>
                <w:sz w:val="19"/>
                <w:szCs w:val="19"/>
              </w:rPr>
              <w:t>месторождению, протяженностью 11,3 км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Категория автомобильной дороги (существующая): IV;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Категория автомобильной дороги (проектная): IV;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Период функционирования дороги: Круглогодичное функционирование (вне зависимости от сезонно-климатических условий);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разрешенного использования: Общего пользования.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4845AD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ascii="Liberation Serif" w:eastAsia="Calibri" w:hAnsi="Liberation Serif" w:cs="Times New Roman"/>
                <w:b/>
                <w:noProof/>
                <w:color w:val="000000"/>
                <w:sz w:val="22"/>
                <w:szCs w:val="19"/>
                <w:lang w:eastAsia="ru-RU"/>
              </w:rPr>
            </w:pPr>
            <w:r w:rsidRPr="008023E9">
              <w:rPr>
                <w:rFonts w:ascii="Liberation Serif" w:eastAsia="Calibri" w:hAnsi="Liberation Serif" w:cs="Times New Roman"/>
                <w:b/>
                <w:noProof/>
                <w:color w:val="000000"/>
                <w:sz w:val="22"/>
                <w:szCs w:val="19"/>
                <w:lang w:eastAsia="ru-RU"/>
              </w:rPr>
              <w:t>Объекты местного значения поселения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1.1.Линии электропередачи (ЛЭП)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1.1.1.Линии электропередачи (ЛЭП)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602040315 - Линии электропередачи 10 кВ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Линии электропередачи 10 кВ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Напряжение: 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0,572;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линии электропередач: Воздушная линия электропередачи;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Объекты сети электроснабжения.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1.2.Сети теплоснабжения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1.2.1.Сети теплоснабжения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602041002 - Теплопровод распределительный (квартальный)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Теплопровод распределительный (квартальный)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0,749;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теплоснабжения.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1.3.Объекты теплоснабжения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1.3.1.Объекты теплоснабжения</w:t>
            </w:r>
          </w:p>
        </w:tc>
      </w:tr>
      <w:tr w:rsidR="008023E9" w:rsidRPr="008023E9" w:rsidTr="008023E9">
        <w:trPr>
          <w:trHeight w:val="30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602040901 - Источник тепловой энергии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Котельная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застройки индивидуальными жилыми домами.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Основной вид топлива: Природный газ;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теплоснабжения;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Расположение объекта относительно уровня земли: Наземное.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1.4.Сети электросвязи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1.4.1.Сети электросвязи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602041601 - Линия связи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Линия связи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связи;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линии связи: Кабельная линия связи.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Линия связи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связи;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линии связи: Кабельная линия связи.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Линия связи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связи;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линии связи: Кабельная линия связи.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Линия связи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связи;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линии связи: Кабельная линия связи.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1.5.Сети водоотведения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1.5.1.Сети водоотведения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602041401 - Канализация самотечная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2,372;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2,337;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2,310;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2,284;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2,118;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1,857;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2,352;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0,535;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0,116;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0,515;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2,126;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1.6.Объекты водоотведения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1.6.1.Объекты водоотведения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602041301 - Очистные сооружения (КОС)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6443D5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6443D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Строительство КОС полной биологической очистки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Производственные зоны, зоны инженерной и транспортной инфраструктур.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Расположение объекта относительно уровня земли: Наземное;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602041303 - Канализационная насосная станция (КНС)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Канализационная насосная станция (КНС)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Производственные зоны, зоны инженерной и транспортной инфраструктур.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Расположение объекта относительно уровня земли: Наземное;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водоотведения.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1.7.Распределительные трубопроводы для транспортировки газа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1.7.1.Распределительные трубопроводы для транспортировки газа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602040602 - Газопровод распределительный среднего давления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2,313;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0,300;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0,951;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0,510;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1,901;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2,274;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2,341;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2,374;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2,190;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2,331;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1,412;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0,015;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газоснабжения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Протяженность: 0,265;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Наземный;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1.8.Объекты добычи и транспортировки газа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1.8.1.Объекты добычи и транспортировки газа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602040514 - Пункт редуцирования газа (ПРГ)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ГРПШ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сельскохозяйственных угодий.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Расположение объекта относительно уровня земли: Наземное;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газоснабжения.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1.9.Объекты водоснабжения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1.9.1.Объекты водоснабжения</w:t>
            </w:r>
          </w:p>
        </w:tc>
      </w:tr>
      <w:tr w:rsidR="008023E9" w:rsidRPr="008023E9" w:rsidTr="008023E9">
        <w:trPr>
          <w:trHeight w:val="30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602041101 - Водозабор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3D5" w:rsidRPr="00760DC7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760DC7">
              <w:rPr>
                <w:rFonts w:eastAsia="Calibri"/>
                <w:noProof/>
                <w:color w:val="000000"/>
                <w:sz w:val="19"/>
                <w:szCs w:val="19"/>
              </w:rPr>
              <w:t>Строительство водозаборов хозяйственно-</w:t>
            </w:r>
          </w:p>
          <w:p w:rsidR="006443D5" w:rsidRPr="00760DC7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760DC7">
              <w:rPr>
                <w:rFonts w:eastAsia="Calibri"/>
                <w:noProof/>
                <w:color w:val="000000"/>
                <w:sz w:val="19"/>
                <w:szCs w:val="19"/>
              </w:rPr>
              <w:t>питьевого назначения из подземных</w:t>
            </w:r>
          </w:p>
          <w:p w:rsidR="006443D5" w:rsidRPr="00760DC7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760DC7">
              <w:rPr>
                <w:rFonts w:eastAsia="Calibri"/>
                <w:noProof/>
                <w:color w:val="000000"/>
                <w:sz w:val="19"/>
                <w:szCs w:val="19"/>
              </w:rPr>
              <w:t>источников за пределами жилой застройки с</w:t>
            </w:r>
          </w:p>
          <w:p w:rsidR="006443D5" w:rsidRPr="00760DC7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760DC7">
              <w:rPr>
                <w:rFonts w:eastAsia="Calibri"/>
                <w:noProof/>
                <w:color w:val="000000"/>
                <w:sz w:val="19"/>
                <w:szCs w:val="19"/>
              </w:rPr>
              <w:t>устройством сооружений водоподготовки и</w:t>
            </w:r>
          </w:p>
          <w:p w:rsidR="008023E9" w:rsidRPr="008023E9" w:rsidRDefault="006443D5" w:rsidP="006443D5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60DC7">
              <w:rPr>
                <w:rFonts w:eastAsia="Calibri"/>
                <w:noProof/>
                <w:color w:val="000000"/>
                <w:sz w:val="19"/>
                <w:szCs w:val="19"/>
              </w:rPr>
              <w:t>организацией зон санитарной охраны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озелененных территорий специального назначения.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602041102 - Водопроводные очистные сооружения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Станция водоподготовки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застройки индивидуальными жилыми домами.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1.10.Электрические подстанции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1.10.1.Электрические подстанции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602040217 - Трансформаторная подстанция (ТП)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Трансформаторная подстанция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озелененных территорий специального назначения.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Расположение объекта относительно уровня земли: Наземное;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Критерии отнесения объекта к особо опасным и технически сложным объектам: Опасный производственный объект, подлежащий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Напряжение: 10;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электроснабжения.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1.11.Улично-дорожная сеть сельского населенного пункта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1.11.1.Улично-дорожная сеть сельского населенного пункта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602030503 - Улица в жилой застройке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Основная;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Основная;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улиц в жилой застройке: Второстепенная (переулок);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(существующий): Переходный;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покрытия (проектный): Усовершенствованный;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улично-дорожной сети.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1.12.Объекты культуры и искусства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1.12.1.Объекты культуры и искусства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602010202 - Объект культурно-досугового (клубного) типа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3D5" w:rsidRDefault="006443D5" w:rsidP="006443D5">
            <w:pPr>
              <w:ind w:left="28" w:right="28"/>
              <w:jc w:val="center"/>
              <w:rPr>
                <w:rFonts w:eastAsia="Calibri"/>
                <w:noProof/>
                <w:color w:val="000000"/>
                <w:sz w:val="19"/>
                <w:szCs w:val="19"/>
              </w:rPr>
            </w:pPr>
            <w:r w:rsidRPr="00760DC7">
              <w:rPr>
                <w:rFonts w:eastAsia="Calibri"/>
                <w:noProof/>
                <w:color w:val="000000"/>
                <w:sz w:val="19"/>
                <w:szCs w:val="19"/>
              </w:rPr>
              <w:t>Реконструкция клубного учреждения</w:t>
            </w:r>
            <w:r>
              <w:rPr>
                <w:rFonts w:eastAsia="Calibri"/>
                <w:noProof/>
                <w:color w:val="000000"/>
                <w:sz w:val="19"/>
                <w:szCs w:val="19"/>
              </w:rPr>
              <w:t>:</w:t>
            </w:r>
          </w:p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МБУК "Новомихайловский сельский дом культуры"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Новомихайловка, ул.Новая, 10А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Подтип объекта культурно-досугового (клубного) типа: Клуб, в том числе клуб и (или) культурно-досуговый комплекс сельского поселения;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Вместимость, читательских, посетительских, зрительских мест: 120;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Фонды библиотек: 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Площадь выставочных (экспозиционных) залов: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1.13.Места погребения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1.13.1.Места погребения</w:t>
            </w:r>
          </w:p>
        </w:tc>
      </w:tr>
      <w:tr w:rsidR="008023E9" w:rsidRPr="008023E9" w:rsidTr="008023E9">
        <w:trPr>
          <w:trHeight w:val="30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602050301 - Кладбище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6443D5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6443D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Устройство новых кладбищ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Зоны специального назначения.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6443D5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Площадь объекта: 7,8;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Класс опасности объекта в соответствии с санитарной классификацией: V класс опасности объекта;</w:t>
            </w:r>
            <w:r w:rsidR="006443D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Статус кладбища : Действующее;</w:t>
            </w:r>
            <w:r w:rsidR="006443D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Тип кладбища : Общественное;</w:t>
            </w:r>
            <w:r w:rsidR="006443D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Классификация кладбища в соответствии с санитарной классификацией: Сельское кладбище.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1.14.Объекты физической культуры и массового спорта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1.14.1.Объекты физической культуры и массового спорта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602010301 - 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ФОК "Олимп"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объекты физической культуры.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602010302 - Спортивное сооружение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Спортивная площадка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Подтип спортивного сооружения: Плоскостное спортивное сооружение (в том числе спортивные (игровые) площадки; спортивные поля, включая футбольные поля);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объекты физической культуры.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Cтадион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Подтип спортивного сооружения: Плоскостное спортивное сооружение (в том числе спортивные (игровые) площадки; спортивные поля, включая футбольные поля);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объекты физической культуры.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1.15.Прочие объекты обслуживания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1.15.1.Прочие объекты обслуживания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602010804 - Объекты торговли, общественного питания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Торговый комплекс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Подтип объекта торговли, общественного питания: Магазин, торгово-развлекательный комплекс, магазин кулинарии;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прочие объекты;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Торговая площадь: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Кафе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Подтип объекта торговли, общественного питания: Объект общественного питания;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прочие объекты;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Торговая площадь: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602010807 - Ветеринарная лечебница, питомник животных, кинологический центр, иной подобный объект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Ветлечебница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Общественно-деловые зоны.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прочие объекты.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1.16.Сети водоснабжения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1.16.1.Сети водоснабжения</w:t>
            </w:r>
          </w:p>
        </w:tc>
      </w:tr>
      <w:tr w:rsidR="008023E9" w:rsidRPr="008023E9" w:rsidTr="008023E9">
        <w:trPr>
          <w:trHeight w:val="30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602041202 - Водопровод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0,881;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2,329;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0,612;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2,180;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2,459;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0,274;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0,589;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2,382;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0,297;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0,136;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2,296;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5,624;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Сети водоснабжения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расположения трубопровода: Подземный;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0,522;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объекта: объект сети водоснабжения;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1.17.Общественные пространства</w:t>
            </w:r>
          </w:p>
        </w:tc>
      </w:tr>
      <w:tr w:rsidR="008023E9" w:rsidRPr="008023E9" w:rsidTr="008023E9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1.17.1.Общественные пространства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602010902 - Парк культуры и отдыха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Рекреационная зона (сквер)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СП Новомихайловский сельсовет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озелененных территорий специального назначения.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Общественные пространства;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Подтип парка культуры и отдыха: Районного значения;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Продолжительность работы: Круглогодичный.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023E9" w:rsidRPr="008023E9" w:rsidTr="008023E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Парк отдыха "Ласточкино гнездо"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Республика Хакасия, Алтайский район, с. Новомихайловка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Зона озелененных территорий специального назначения.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Общественные пространства;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Подтип парка культуры и отдыха: Районного значения;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Продолжительность работы: Круглогодичный.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</w:tbl>
    <w:p w:rsidR="00A60E1E" w:rsidRDefault="00A60E1E" w:rsidP="003504CB">
      <w:pPr>
        <w:spacing w:line="75" w:lineRule="exact"/>
        <w:rPr>
          <w:rFonts w:ascii="Calibri" w:eastAsia="Calibri" w:hAnsi="Calibri" w:cs="Calibri"/>
          <w:szCs w:val="20"/>
          <w:lang w:eastAsia="ru-RU"/>
        </w:rPr>
      </w:pPr>
    </w:p>
    <w:p w:rsidR="00A60E1E" w:rsidRPr="003504CB" w:rsidRDefault="00A60E1E" w:rsidP="003504CB">
      <w:pPr>
        <w:spacing w:line="75" w:lineRule="exact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40"/>
        <w:gridCol w:w="2070"/>
        <w:gridCol w:w="4185"/>
        <w:gridCol w:w="1305"/>
        <w:gridCol w:w="3645"/>
      </w:tblGrid>
      <w:tr w:rsidR="003504CB" w:rsidRPr="003504CB" w:rsidTr="00A60E1E">
        <w:trPr>
          <w:trHeight w:val="675"/>
        </w:trPr>
        <w:tc>
          <w:tcPr>
            <w:tcW w:w="14265" w:type="dxa"/>
            <w:gridSpan w:val="6"/>
            <w:shd w:val="clear" w:color="auto" w:fill="auto"/>
          </w:tcPr>
          <w:p w:rsidR="003504CB" w:rsidRPr="00240D34" w:rsidRDefault="003504CB" w:rsidP="00240D34">
            <w:pPr>
              <w:pStyle w:val="1"/>
              <w:rPr>
                <w:rFonts w:ascii="Liberation Serif" w:eastAsia="Calibri" w:hAnsi="Liberation Serif"/>
                <w:noProof/>
                <w:color w:val="000000"/>
                <w:sz w:val="28"/>
                <w:szCs w:val="28"/>
                <w:lang w:eastAsia="ru-RU"/>
              </w:rPr>
            </w:pPr>
            <w:r w:rsidRPr="00240D34">
              <w:rPr>
                <w:rFonts w:ascii="Liberation Serif" w:eastAsia="Calibri" w:hAnsi="Liberation Serif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bookmarkStart w:id="74" w:name="_Toc89724385"/>
            <w:r w:rsidRPr="00240D34">
              <w:rPr>
                <w:rFonts w:ascii="Liberation Serif" w:eastAsia="Times New Roman" w:hAnsi="Liberation Serif"/>
                <w:color w:val="000000" w:themeColor="text1"/>
                <w:sz w:val="28"/>
                <w:szCs w:val="28"/>
                <w:lang w:eastAsia="ru-RU"/>
              </w:rPr>
              <w:t>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bookmarkEnd w:id="74"/>
          </w:p>
        </w:tc>
      </w:tr>
      <w:tr w:rsidR="003504CB" w:rsidRPr="003504CB" w:rsidTr="00A60E1E">
        <w:trPr>
          <w:trHeight w:val="12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Местоположение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Статус объекта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Параметры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Площадь, га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4CB" w:rsidRPr="003504CB" w:rsidRDefault="003504CB" w:rsidP="003504C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3504C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Планируемые для размещения объекты федерального, регионального и местного значения</w:t>
            </w:r>
          </w:p>
        </w:tc>
      </w:tr>
    </w:tbl>
    <w:p w:rsidR="003504CB" w:rsidRPr="003504CB" w:rsidRDefault="003504CB" w:rsidP="003504CB">
      <w:pPr>
        <w:spacing w:line="60" w:lineRule="exact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40"/>
        <w:gridCol w:w="2070"/>
        <w:gridCol w:w="4185"/>
        <w:gridCol w:w="1305"/>
        <w:gridCol w:w="3645"/>
      </w:tblGrid>
      <w:tr w:rsidR="008023E9" w:rsidRPr="008023E9" w:rsidTr="008023E9">
        <w:trPr>
          <w:trHeight w:val="2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8023E9" w:rsidRPr="008023E9" w:rsidTr="008023E9">
        <w:trPr>
          <w:trHeight w:val="300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701010101 - Зона застройки индивидуальными жилыми домами</w:t>
            </w:r>
          </w:p>
        </w:tc>
      </w:tr>
      <w:tr w:rsidR="008023E9" w:rsidRPr="008023E9" w:rsidTr="008023E9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D07817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130,51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9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D07817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220,71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602040901 - Котельная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602041102 - Станция водоподготовки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701010300 - Общественно-деловые зоны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69610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2,73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20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69610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8,58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реконструкции: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602010202 - МБУК "Новомихайловский сельский дом культуры"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602010301 - ФОК "Олимп"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602010804 - Кафе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602010807 - Ветлечебница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602010302 - Cтадион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69610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0,27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9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69610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9,54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602010302 - Спортивная площадка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602010804 - Торговый комплекс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701010703 - Зона озелененных территорий специального назначения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2238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1,08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9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2238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0,58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602010902 - Парк отдыха "Ласточкино гнездо"</w:t>
            </w:r>
          </w:p>
        </w:tc>
      </w:tr>
      <w:tr w:rsidR="008023E9" w:rsidRPr="008023E9" w:rsidTr="008023E9">
        <w:trPr>
          <w:trHeight w:val="9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2238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3,06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602040217 - Трансформаторная подстанция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602010902 - Рекреационная зона (сквер)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2238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120,47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7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2238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22,86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602041101 - Водозабор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701010602 - Зона отдыха</w:t>
            </w:r>
          </w:p>
        </w:tc>
      </w:tr>
      <w:tr w:rsidR="008023E9" w:rsidRPr="008023E9" w:rsidTr="008023E9">
        <w:trPr>
          <w:trHeight w:val="9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зоны отдыха: Зона пляжей.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78,8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муниципального района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602010605 - Домик рыбака на озере Черное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701010400 - Производственные зоны, зоны инженерной и транспортной инфраструктур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74050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11,1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74050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0,57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74050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1,08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2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с. Новомихайловка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0,66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Default="008023E9" w:rsidP="008023E9">
            <w:pPr>
              <w:jc w:val="center"/>
            </w:pPr>
            <w:r w:rsidRPr="00B446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446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10,65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11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446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0,41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602041301 - Очистные сооружения (КОС)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602041303 - Канализационная насосная станция (КНС)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446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19,7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B446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40,01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Default="008023E9" w:rsidP="008023E9">
            <w:pPr>
              <w:jc w:val="center"/>
            </w:pPr>
            <w:r w:rsidRPr="00B446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42,43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701010700 - Зоны специального назначения</w:t>
            </w:r>
          </w:p>
        </w:tc>
      </w:tr>
      <w:tr w:rsidR="008023E9" w:rsidRPr="008023E9" w:rsidTr="008023E9">
        <w:trPr>
          <w:trHeight w:val="7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812E0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9,91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602050301 - Кладбище</w:t>
            </w:r>
          </w:p>
        </w:tc>
      </w:tr>
      <w:tr w:rsidR="008023E9" w:rsidRPr="008023E9" w:rsidTr="008023E9">
        <w:trPr>
          <w:trHeight w:val="2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Default="008023E9" w:rsidP="008023E9">
            <w:pPr>
              <w:jc w:val="center"/>
            </w:pPr>
            <w:r w:rsidRPr="00812E0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37,65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701010500 - Зоны сельскохозяйственного использования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bookmarkStart w:id="75" w:name="_GoBack"/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  <w:bookmarkEnd w:id="75"/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102,19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701010501 - Зона сельскохозяйственных угодий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6874D8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15,01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Default="008023E9" w:rsidP="008023E9">
            <w:pPr>
              <w:jc w:val="center"/>
            </w:pPr>
            <w:r w:rsidRPr="006874D8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500,8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6874D8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7997,03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7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Default="008023E9" w:rsidP="008023E9">
            <w:pPr>
              <w:jc w:val="center"/>
            </w:pPr>
            <w:r w:rsidRPr="006874D8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142,22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602040514 - ГРПШ</w:t>
            </w:r>
          </w:p>
        </w:tc>
      </w:tr>
      <w:tr w:rsidR="008023E9" w:rsidRPr="008023E9" w:rsidTr="008023E9">
        <w:trPr>
          <w:trHeight w:val="7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023E9" w:rsidRDefault="008023E9" w:rsidP="008023E9">
            <w:pPr>
              <w:jc w:val="center"/>
            </w:pPr>
            <w:r w:rsidRPr="006874D8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1918,5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Региональное значение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Планируемый к размещению:</w:t>
            </w: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602040506 - ГРС</w:t>
            </w:r>
          </w:p>
        </w:tc>
      </w:tr>
      <w:tr w:rsidR="008023E9" w:rsidRPr="008023E9" w:rsidTr="008023E9">
        <w:trPr>
          <w:trHeight w:val="285"/>
        </w:trPr>
        <w:tc>
          <w:tcPr>
            <w:tcW w:w="14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701010900 - Зона акваторий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1C0A2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198,06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  <w:tr w:rsidR="008023E9" w:rsidRPr="008023E9" w:rsidTr="008023E9"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Default="008023E9" w:rsidP="008023E9">
            <w:pPr>
              <w:jc w:val="center"/>
            </w:pPr>
            <w:r w:rsidRPr="001C0A2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Новомихайловский сельсовет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Существующий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предусмотрены.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3E9" w:rsidRPr="008023E9" w:rsidRDefault="008023E9" w:rsidP="008023E9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278,17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23E9" w:rsidRPr="008023E9" w:rsidRDefault="008023E9" w:rsidP="008023E9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023E9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Не планируются</w:t>
            </w:r>
          </w:p>
        </w:tc>
      </w:tr>
    </w:tbl>
    <w:p w:rsidR="00240D34" w:rsidRPr="004E0869" w:rsidRDefault="00240D34">
      <w:pPr>
        <w:jc w:val="right"/>
      </w:pPr>
    </w:p>
    <w:sectPr w:rsidR="00240D34" w:rsidRPr="004E0869">
      <w:pgSz w:w="16833" w:h="11908"/>
      <w:pgMar w:top="1132" w:right="849" w:bottom="1132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9C" w:rsidRDefault="00D7499C" w:rsidP="005C3C2D">
      <w:r>
        <w:separator/>
      </w:r>
    </w:p>
  </w:endnote>
  <w:endnote w:type="continuationSeparator" w:id="0">
    <w:p w:rsidR="00D7499C" w:rsidRDefault="00D7499C" w:rsidP="005C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16" w:rsidRDefault="00840216">
    <w:pPr>
      <w:pStyle w:val="a5"/>
      <w:jc w:val="center"/>
    </w:pPr>
  </w:p>
  <w:p w:rsidR="00840216" w:rsidRDefault="00840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16" w:rsidRDefault="00840216">
    <w:pPr>
      <w:pStyle w:val="a5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16" w:rsidRDefault="0084021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3D5">
      <w:rPr>
        <w:noProof/>
      </w:rPr>
      <w:t>2</w:t>
    </w:r>
    <w:r>
      <w:fldChar w:fldCharType="end"/>
    </w:r>
  </w:p>
  <w:p w:rsidR="00840216" w:rsidRDefault="00840216">
    <w:pPr>
      <w:pStyle w:val="a5"/>
      <w:ind w:left="-54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9C" w:rsidRDefault="00D7499C" w:rsidP="005C3C2D">
      <w:r>
        <w:separator/>
      </w:r>
    </w:p>
  </w:footnote>
  <w:footnote w:type="continuationSeparator" w:id="0">
    <w:p w:rsidR="00D7499C" w:rsidRDefault="00D7499C" w:rsidP="005C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548370"/>
      <w:docPartObj>
        <w:docPartGallery w:val="Page Numbers (Top of Page)"/>
        <w:docPartUnique/>
      </w:docPartObj>
    </w:sdtPr>
    <w:sdtEndPr/>
    <w:sdtContent>
      <w:p w:rsidR="00840216" w:rsidRDefault="008402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D5">
          <w:rPr>
            <w:noProof/>
          </w:rPr>
          <w:t>24</w:t>
        </w:r>
        <w:r>
          <w:fldChar w:fldCharType="end"/>
        </w:r>
      </w:p>
    </w:sdtContent>
  </w:sdt>
  <w:p w:rsidR="00840216" w:rsidRDefault="00840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16" w:rsidRDefault="00840216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A53"/>
    <w:multiLevelType w:val="hybridMultilevel"/>
    <w:tmpl w:val="625A6B9A"/>
    <w:lvl w:ilvl="0" w:tplc="7B54B6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D"/>
    <w:rsid w:val="00027D20"/>
    <w:rsid w:val="00037D20"/>
    <w:rsid w:val="000676EE"/>
    <w:rsid w:val="000B51C9"/>
    <w:rsid w:val="000E0004"/>
    <w:rsid w:val="00145C8A"/>
    <w:rsid w:val="00153B96"/>
    <w:rsid w:val="00216756"/>
    <w:rsid w:val="00240D34"/>
    <w:rsid w:val="002913C3"/>
    <w:rsid w:val="002C615B"/>
    <w:rsid w:val="00341AF4"/>
    <w:rsid w:val="003504CB"/>
    <w:rsid w:val="003B66BA"/>
    <w:rsid w:val="004E0869"/>
    <w:rsid w:val="005278D0"/>
    <w:rsid w:val="005B7C57"/>
    <w:rsid w:val="005C3C2D"/>
    <w:rsid w:val="005E55A6"/>
    <w:rsid w:val="006443D5"/>
    <w:rsid w:val="006B4EDB"/>
    <w:rsid w:val="007A60E5"/>
    <w:rsid w:val="007D4941"/>
    <w:rsid w:val="008023E9"/>
    <w:rsid w:val="00840216"/>
    <w:rsid w:val="008B313B"/>
    <w:rsid w:val="00957D02"/>
    <w:rsid w:val="009957DF"/>
    <w:rsid w:val="009C778B"/>
    <w:rsid w:val="00A60E1E"/>
    <w:rsid w:val="00AC52C3"/>
    <w:rsid w:val="00AE3591"/>
    <w:rsid w:val="00B6723A"/>
    <w:rsid w:val="00B77D6B"/>
    <w:rsid w:val="00BC42BB"/>
    <w:rsid w:val="00C1104B"/>
    <w:rsid w:val="00C25288"/>
    <w:rsid w:val="00C30DC1"/>
    <w:rsid w:val="00CC4224"/>
    <w:rsid w:val="00D2215E"/>
    <w:rsid w:val="00D453A5"/>
    <w:rsid w:val="00D61060"/>
    <w:rsid w:val="00D7499C"/>
    <w:rsid w:val="00DC2C65"/>
    <w:rsid w:val="00DD3BBA"/>
    <w:rsid w:val="00DF39AE"/>
    <w:rsid w:val="00E13C17"/>
    <w:rsid w:val="00E15241"/>
    <w:rsid w:val="00E65862"/>
    <w:rsid w:val="00EB4713"/>
    <w:rsid w:val="00EC489A"/>
    <w:rsid w:val="00ED214E"/>
    <w:rsid w:val="00F21021"/>
    <w:rsid w:val="00F70D72"/>
    <w:rsid w:val="00F7194D"/>
    <w:rsid w:val="00F92C88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F8F0-B483-4DDA-9F04-8EDD0B1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1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0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C2D"/>
  </w:style>
  <w:style w:type="paragraph" w:styleId="a5">
    <w:name w:val="footer"/>
    <w:basedOn w:val="a"/>
    <w:link w:val="a6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C2D"/>
  </w:style>
  <w:style w:type="paragraph" w:customStyle="1" w:styleId="ParagraphStyle0">
    <w:name w:val="ParagraphStyle0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">
    <w:name w:val="ParagraphStyle1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">
    <w:name w:val="ParagraphStyle2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">
    <w:name w:val="ParagraphStyle3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4">
    <w:name w:val="ParagraphStyle4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5">
    <w:name w:val="ParagraphStyle5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6">
    <w:name w:val="ParagraphStyle6"/>
    <w:hidden/>
    <w:rsid w:val="005C3C2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7">
    <w:name w:val="ParagraphStyle7"/>
    <w:hidden/>
    <w:rsid w:val="005C3C2D"/>
    <w:pPr>
      <w:pBdr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8">
    <w:name w:val="ParagraphStyle8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9">
    <w:name w:val="ParagraphStyle9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0">
    <w:name w:val="ParagraphStyle10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1">
    <w:name w:val="ParagraphStyle11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2">
    <w:name w:val="ParagraphStyle12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3">
    <w:name w:val="ParagraphStyle13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4">
    <w:name w:val="ParagraphStyle14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5">
    <w:name w:val="ParagraphStyle15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6">
    <w:name w:val="ParagraphStyle16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7">
    <w:name w:val="ParagraphStyle17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character" w:styleId="a7">
    <w:name w:val="line number"/>
    <w:basedOn w:val="a0"/>
    <w:semiHidden/>
    <w:rsid w:val="005C3C2D"/>
  </w:style>
  <w:style w:type="character" w:styleId="a8">
    <w:name w:val="Hyperlink"/>
    <w:rsid w:val="005C3C2D"/>
    <w:rPr>
      <w:color w:val="0000FF"/>
      <w:u w:val="single"/>
    </w:rPr>
  </w:style>
  <w:style w:type="character" w:customStyle="1" w:styleId="FakeCharacterStyle">
    <w:name w:val="FakeCharacterStyle"/>
    <w:hidden/>
    <w:rsid w:val="005C3C2D"/>
    <w:rPr>
      <w:sz w:val="1"/>
      <w:szCs w:val="1"/>
    </w:rPr>
  </w:style>
  <w:style w:type="character" w:customStyle="1" w:styleId="CharacterStyle0">
    <w:name w:val="CharacterStyle0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9"/>
      <w:szCs w:val="29"/>
      <w:u w:val="none"/>
    </w:rPr>
  </w:style>
  <w:style w:type="character" w:customStyle="1" w:styleId="CharacterStyle1">
    <w:name w:val="CharacterStyle1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3">
    <w:name w:val="CharacterStyle3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4">
    <w:name w:val="CharacterStyle4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10">
    <w:name w:val="CharacterStyle10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11">
    <w:name w:val="CharacterStyle11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11">
    <w:name w:val="Table Simple 1"/>
    <w:basedOn w:val="a1"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unhideWhenUsed/>
    <w:rsid w:val="00ED214E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DF39AE"/>
  </w:style>
  <w:style w:type="paragraph" w:customStyle="1" w:styleId="ParagraphStyle18">
    <w:name w:val="ParagraphStyle18"/>
    <w:hidden/>
    <w:rsid w:val="00DF39AE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9">
    <w:name w:val="ParagraphStyle19"/>
    <w:hidden/>
    <w:rsid w:val="00DF39AE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acterStyle18">
    <w:name w:val="CharacterStyle18"/>
    <w:hidden/>
    <w:rsid w:val="00DF39AE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sid w:val="00DF39AE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table" w:customStyle="1" w:styleId="110">
    <w:name w:val="Простая таблица 11"/>
    <w:basedOn w:val="a1"/>
    <w:next w:val="11"/>
    <w:rsid w:val="00DF39A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F39AE"/>
  </w:style>
  <w:style w:type="table" w:customStyle="1" w:styleId="120">
    <w:name w:val="Простая таблица 12"/>
    <w:basedOn w:val="a1"/>
    <w:next w:val="11"/>
    <w:rsid w:val="00DF39A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2215E"/>
  </w:style>
  <w:style w:type="table" w:customStyle="1" w:styleId="130">
    <w:name w:val="Простая таблица 13"/>
    <w:basedOn w:val="a1"/>
    <w:next w:val="11"/>
    <w:rsid w:val="00D2215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504CB"/>
  </w:style>
  <w:style w:type="table" w:customStyle="1" w:styleId="14">
    <w:name w:val="Простая таблица 14"/>
    <w:basedOn w:val="a1"/>
    <w:next w:val="11"/>
    <w:rsid w:val="003504CB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60E1E"/>
    <w:pPr>
      <w:ind w:left="720"/>
      <w:contextualSpacing/>
    </w:pPr>
  </w:style>
  <w:style w:type="numbering" w:customStyle="1" w:styleId="5">
    <w:name w:val="Нет списка5"/>
    <w:next w:val="a2"/>
    <w:uiPriority w:val="99"/>
    <w:semiHidden/>
    <w:unhideWhenUsed/>
    <w:rsid w:val="00A60E1E"/>
  </w:style>
  <w:style w:type="table" w:customStyle="1" w:styleId="15">
    <w:name w:val="Простая таблица 15"/>
    <w:basedOn w:val="a1"/>
    <w:next w:val="11"/>
    <w:rsid w:val="00A60E1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153B96"/>
  </w:style>
  <w:style w:type="table" w:customStyle="1" w:styleId="16">
    <w:name w:val="Простая таблица 16"/>
    <w:basedOn w:val="a1"/>
    <w:next w:val="11"/>
    <w:rsid w:val="00153B96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1AF4"/>
  </w:style>
  <w:style w:type="table" w:customStyle="1" w:styleId="17">
    <w:name w:val="Простая таблица 17"/>
    <w:basedOn w:val="a1"/>
    <w:next w:val="11"/>
    <w:rsid w:val="00341AF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40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C4224"/>
  </w:style>
  <w:style w:type="table" w:customStyle="1" w:styleId="18">
    <w:name w:val="Простая таблица 18"/>
    <w:basedOn w:val="a1"/>
    <w:next w:val="11"/>
    <w:rsid w:val="00CC422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C4224"/>
  </w:style>
  <w:style w:type="table" w:customStyle="1" w:styleId="19">
    <w:name w:val="Простая таблица 19"/>
    <w:basedOn w:val="a1"/>
    <w:next w:val="11"/>
    <w:rsid w:val="00CC422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D3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8567&amp;date=07.01.2021&amp;demo=2&amp;dst=10000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&amp;date=07.01.2021&amp;demo=2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2875&amp;date=07.01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/GjL3GkdW28/iIIBqBf+B1llg+g=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uSrQ/wQ2JppURdwiPdrUKl0uSKdbmv5QCPcyqZ9l1i6A5T0YL9i4z2eeMrTpEJY+BZjkRR7N
    hHxBVu1hcfuCLuChy9YBQQ1q/JJ7Ykm4SqGFw2PgrXQi97Sfga9rUpW79gm4/Lw4kn2TRpLv
    EBKlL2kPdLkbToeO6aKGFcN73zI=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WLXcJo0AEPQmPX8D+28mec8GfwA=</DigestValue>
      </Reference>
      <Reference URI="/word/document.xml?ContentType=application/vnd.openxmlformats-officedocument.wordprocessingml.document.main+xml">
        <DigestMethod Algorithm="http://www.w3.org/2000/09/xmldsig#sha1"/>
        <DigestValue>GZjuwdhNrjWjQa1C+zY+7tw1Z18=</DigestValue>
      </Reference>
      <Reference URI="/word/endnotes.xml?ContentType=application/vnd.openxmlformats-officedocument.wordprocessingml.endnotes+xml">
        <DigestMethod Algorithm="http://www.w3.org/2000/09/xmldsig#sha1"/>
        <DigestValue>F6reC4in5Jz5FYxeceuZjPhTSL0=</DigestValue>
      </Reference>
      <Reference URI="/word/fontTable.xml?ContentType=application/vnd.openxmlformats-officedocument.wordprocessingml.fontTable+xml">
        <DigestMethod Algorithm="http://www.w3.org/2000/09/xmldsig#sha1"/>
        <DigestValue>43ivK7LrVxsyJ8nfXeBg9DQLvag=</DigestValue>
      </Reference>
      <Reference URI="/word/footer1.xml?ContentType=application/vnd.openxmlformats-officedocument.wordprocessingml.footer+xml">
        <DigestMethod Algorithm="http://www.w3.org/2000/09/xmldsig#sha1"/>
        <DigestValue>H7MGmLxwJmdIWSUW4D8iqAMFxm4=</DigestValue>
      </Reference>
      <Reference URI="/word/footer2.xml?ContentType=application/vnd.openxmlformats-officedocument.wordprocessingml.footer+xml">
        <DigestMethod Algorithm="http://www.w3.org/2000/09/xmldsig#sha1"/>
        <DigestValue>J3fuODz4qWUptgN4gQ2GoICSOJ4=</DigestValue>
      </Reference>
      <Reference URI="/word/footer3.xml?ContentType=application/vnd.openxmlformats-officedocument.wordprocessingml.footer+xml">
        <DigestMethod Algorithm="http://www.w3.org/2000/09/xmldsig#sha1"/>
        <DigestValue>9GmhKrs4Nxi6sbR6GrPbCeWbWcc=</DigestValue>
      </Reference>
      <Reference URI="/word/footnotes.xml?ContentType=application/vnd.openxmlformats-officedocument.wordprocessingml.footnotes+xml">
        <DigestMethod Algorithm="http://www.w3.org/2000/09/xmldsig#sha1"/>
        <DigestValue>uhLUIufjyzJ8EZb62er7lNxsCLc=</DigestValue>
      </Reference>
      <Reference URI="/word/header1.xml?ContentType=application/vnd.openxmlformats-officedocument.wordprocessingml.header+xml">
        <DigestMethod Algorithm="http://www.w3.org/2000/09/xmldsig#sha1"/>
        <DigestValue>/O6UHoLH0kBQUr457b3u53y2QnA=</DigestValue>
      </Reference>
      <Reference URI="/word/header2.xml?ContentType=application/vnd.openxmlformats-officedocument.wordprocessingml.header+xml">
        <DigestMethod Algorithm="http://www.w3.org/2000/09/xmldsig#sha1"/>
        <DigestValue>5tFW5hEwOVMDhSZiKqyMXZm1NnU=</DigestValue>
      </Reference>
      <Reference URI="/word/media/image1.jpeg?ContentType=image/jpeg">
        <DigestMethod Algorithm="http://www.w3.org/2000/09/xmldsig#sha1"/>
        <DigestValue>VenjMeT0fR/sGapCpEzLdwlfmqE=</DigestValue>
      </Reference>
      <Reference URI="/word/numbering.xml?ContentType=application/vnd.openxmlformats-officedocument.wordprocessingml.numbering+xml">
        <DigestMethod Algorithm="http://www.w3.org/2000/09/xmldsig#sha1"/>
        <DigestValue>PwbDXjMQgweklVy6wmfKbT8KSus=</DigestValue>
      </Reference>
      <Reference URI="/word/settings.xml?ContentType=application/vnd.openxmlformats-officedocument.wordprocessingml.settings+xml">
        <DigestMethod Algorithm="http://www.w3.org/2000/09/xmldsig#sha1"/>
        <DigestValue>P6oyaB0VTV533ueealy6rMfoJZQ=</DigestValue>
      </Reference>
      <Reference URI="/word/styles.xml?ContentType=application/vnd.openxmlformats-officedocument.wordprocessingml.styles+xml">
        <DigestMethod Algorithm="http://www.w3.org/2000/09/xmldsig#sha1"/>
        <DigestValue>U/27tXkQVjnjfsYjsyUMfZUvjxU=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jjLOPItDTm/jGsgZq8/YsYvEJmg=</DigestValue>
      </Reference>
    </Manifest>
    <SignatureProperties>
      <SignatureProperty Id="idSignatureTime" Target="#idPackageSignature">
        <mdssi:SignatureTime>
          <mdssi:Format>YYYY-MM-DDThh:mm:ssTZD</mdssi:Format>
          <mdssi:Value>2023-01-11T07:03:34Z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01A5-3A10-4F2F-9CCA-B9724A21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Ширяев</dc:creator>
  <cp:keywords/>
  <dc:description/>
  <cp:lastModifiedBy>Дементьева Т.А</cp:lastModifiedBy>
  <cp:revision>21</cp:revision>
  <dcterms:created xsi:type="dcterms:W3CDTF">2021-03-04T12:48:00Z</dcterms:created>
  <dcterms:modified xsi:type="dcterms:W3CDTF">2022-09-15T11:55:00Z</dcterms:modified>
</cp:coreProperties>
</file>